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452479487"/>
      <w:bookmarkStart w:id="3" w:name="_Toc278528638"/>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452479490"/>
            <w:bookmarkStart w:id="6" w:name="_Toc322532861"/>
            <w:bookmarkStart w:id="7" w:name="_Toc227044138"/>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jc w:val="center"/>
        <w:outlineLvl w:val="0"/>
        <w:rPr>
          <w:rFonts w:ascii="黑体" w:hAnsi="黑体" w:eastAsia="黑体" w:cs="黑体"/>
          <w:b/>
          <w:sz w:val="44"/>
          <w:szCs w:val="44"/>
        </w:rPr>
      </w:pPr>
      <w:r>
        <w:rPr>
          <w:rFonts w:hint="eastAsia" w:ascii="黑体" w:hAnsi="黑体" w:eastAsia="黑体"/>
          <w:b/>
          <w:bCs/>
          <w:sz w:val="44"/>
          <w:szCs w:val="44"/>
        </w:rPr>
        <w:t>广州乐金-包材整理回收项目</w:t>
      </w:r>
      <w:bookmarkStart w:id="15" w:name="_GoBack"/>
      <w:bookmarkEnd w:id="15"/>
      <w:r>
        <w:rPr>
          <w:rFonts w:hint="eastAsia" w:ascii="黑体" w:hAnsi="黑体" w:eastAsia="黑体" w:cs="黑体"/>
          <w:b/>
          <w:sz w:val="44"/>
          <w:szCs w:val="44"/>
        </w:rPr>
        <w:t>招标</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spacing w:before="240" w:after="240"/>
        <w:jc w:val="left"/>
        <w:rPr>
          <w:rFonts w:hint="eastAsia" w:ascii="仿宋" w:hAnsi="仿宋" w:eastAsia="仿宋"/>
          <w:sz w:val="32"/>
          <w:szCs w:val="32"/>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sz w:val="32"/>
          <w:szCs w:val="32"/>
        </w:rPr>
        <w:t>在线膜厚仪招标技术要求</w:t>
      </w:r>
      <w:r>
        <w:rPr>
          <w:rFonts w:hint="eastAsia" w:ascii="仿宋" w:hAnsi="仿宋" w:eastAsia="仿宋"/>
          <w:sz w:val="32"/>
          <w:szCs w:val="32"/>
          <w:lang w:eastAsia="zh-CN"/>
        </w:rPr>
        <w:t>》</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58240;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329247C"/>
    <w:rsid w:val="149C5B4B"/>
    <w:rsid w:val="1B3B52CA"/>
    <w:rsid w:val="1ECB35DA"/>
    <w:rsid w:val="24F0752E"/>
    <w:rsid w:val="30A013DC"/>
    <w:rsid w:val="371F3178"/>
    <w:rsid w:val="411820CD"/>
    <w:rsid w:val="55401B95"/>
    <w:rsid w:val="613D0085"/>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2021-03-01T10:58:13Z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