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8638"/>
      <w:bookmarkStart w:id="3" w:name="_Toc236803065"/>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350862681"/>
            <w:bookmarkStart w:id="7" w:name="_Toc322532861"/>
            <w:bookmarkStart w:id="8" w:name="_Toc227044138"/>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280341015"/>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jc w:val="center"/>
        <w:outlineLvl w:val="0"/>
        <w:rPr>
          <w:rFonts w:hint="eastAsia" w:ascii="黑体" w:hAnsi="黑体" w:eastAsia="黑体" w:cs="黑体"/>
          <w:b/>
          <w:sz w:val="40"/>
          <w:szCs w:val="40"/>
          <w:lang w:val="en-US" w:eastAsia="zh-CN"/>
        </w:rPr>
      </w:pPr>
      <w:r>
        <w:rPr>
          <w:rFonts w:hint="eastAsia" w:ascii="黑体" w:hAnsi="黑体" w:eastAsia="黑体"/>
          <w:b/>
          <w:bCs/>
          <w:sz w:val="40"/>
          <w:szCs w:val="40"/>
          <w:lang w:val="en-US" w:eastAsia="zh-CN"/>
        </w:rPr>
        <w:t>废水站有机废气收集处理系统</w:t>
      </w:r>
      <w:r>
        <w:rPr>
          <w:rFonts w:hint="eastAsia" w:ascii="黑体" w:hAnsi="黑体" w:eastAsia="黑体"/>
          <w:b/>
          <w:bCs/>
          <w:sz w:val="40"/>
          <w:szCs w:val="40"/>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bookmarkStart w:id="15" w:name="_GoBack"/>
      <w:bookmarkEnd w:id="15"/>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在线膜厚仪招标技术要求</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58240;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24F0752E"/>
    <w:rsid w:val="2E9F3A7D"/>
    <w:rsid w:val="371F3178"/>
    <w:rsid w:val="411820CD"/>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2021-03-04T13:44:34Z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